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0E42" w14:textId="7F214E41" w:rsidR="00F10697" w:rsidRDefault="00F10697">
      <w:r>
        <w:t>ANNEXE 28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668"/>
        <w:gridCol w:w="2190"/>
        <w:gridCol w:w="513"/>
        <w:gridCol w:w="1792"/>
        <w:gridCol w:w="1893"/>
      </w:tblGrid>
      <w:tr w:rsidR="003042AE" w:rsidRPr="005D4B65" w14:paraId="562DA114" w14:textId="77777777" w:rsidTr="00F10697">
        <w:trPr>
          <w:trHeight w:val="275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3FD56EA9" w14:textId="77858160" w:rsidR="003042AE" w:rsidRPr="005D4B65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3196A" w14:textId="77777777" w:rsidR="003042AE" w:rsidRPr="005D4B65" w:rsidRDefault="003042AE" w:rsidP="003042AE">
            <w:pPr>
              <w:jc w:val="center"/>
              <w:rPr>
                <w:lang w:val="fr-FR"/>
              </w:rPr>
            </w:pPr>
          </w:p>
          <w:p w14:paraId="7B0A5361" w14:textId="57C86A8B" w:rsidR="003042AE" w:rsidRPr="005D4B65" w:rsidRDefault="000A17F3" w:rsidP="003042AE">
            <w:pPr>
              <w:jc w:val="center"/>
              <w:rPr>
                <w:lang w:val="fr-FR"/>
              </w:rPr>
            </w:pPr>
            <w:r w:rsidRPr="005D4B65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</w:tc>
      </w:tr>
      <w:tr w:rsidR="003042AE" w:rsidRPr="005D4B65" w14:paraId="1DAAC376" w14:textId="77777777" w:rsidTr="00F10697">
        <w:trPr>
          <w:trHeight w:val="275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1807ABE7" w14:textId="77777777" w:rsidR="003042AE" w:rsidRPr="005D4B65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E8E0F" w14:textId="286AA828" w:rsidR="003042AE" w:rsidRPr="005D4B65" w:rsidRDefault="003F650E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>Formateur</w:t>
            </w:r>
          </w:p>
          <w:p w14:paraId="4A5BC8EE" w14:textId="3E3838F7" w:rsidR="001056C5" w:rsidRPr="005D4B65" w:rsidRDefault="001056C5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  <w:r w:rsidRPr="005D4B65">
              <w:rPr>
                <w:b/>
                <w:color w:val="0000FF"/>
                <w:lang w:val="fr-FR"/>
              </w:rPr>
              <w:t>(Forop 1)</w:t>
            </w:r>
          </w:p>
          <w:p w14:paraId="795A70EA" w14:textId="77777777" w:rsidR="003042AE" w:rsidRPr="005D4B65" w:rsidRDefault="003042AE" w:rsidP="003042AE">
            <w:pPr>
              <w:jc w:val="center"/>
              <w:rPr>
                <w:lang w:val="fr-FR"/>
              </w:rPr>
            </w:pPr>
          </w:p>
        </w:tc>
      </w:tr>
      <w:tr w:rsidR="00F10697" w:rsidRPr="00057E7B" w14:paraId="63E098FC" w14:textId="77777777" w:rsidTr="00F10697">
        <w:tc>
          <w:tcPr>
            <w:tcW w:w="2736" w:type="dxa"/>
          </w:tcPr>
          <w:p w14:paraId="282441A8" w14:textId="77777777" w:rsidR="00F10697" w:rsidRPr="005D4B65" w:rsidRDefault="00F10697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1EDEFA" w14:textId="77777777" w:rsidR="00F10697" w:rsidRDefault="00F10697" w:rsidP="00F1069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</w:r>
          </w:p>
          <w:p w14:paraId="3CA22414" w14:textId="4E770CEF" w:rsidR="00F10697" w:rsidRPr="00E24073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Cette fonction est</w:t>
            </w:r>
            <w:r w:rsidR="0048055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en principe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associée à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base,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 ou supérieur.</w:t>
            </w:r>
          </w:p>
          <w:p w14:paraId="334EE670" w14:textId="77777777" w:rsidR="00F10697" w:rsidRPr="0000393B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74EB21FD" w14:textId="0BF4809F" w:rsidR="00F10697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00393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7B83D5CD" w14:textId="77777777" w:rsidR="00F10697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BAE1316" w14:textId="77777777" w:rsidR="00F10697" w:rsidRPr="00A34B92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4B92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66C192B3" w14:textId="77777777" w:rsidR="00F10697" w:rsidRDefault="00F10697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</w:p>
          <w:p w14:paraId="1697C5CC" w14:textId="77777777" w:rsidR="005C1BA8" w:rsidRDefault="005C1BA8" w:rsidP="005C1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578BD1B7" w14:textId="77777777" w:rsidR="005C1BA8" w:rsidRDefault="005C1BA8" w:rsidP="005C1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9F93292" w14:textId="77777777" w:rsidR="005C1BA8" w:rsidRDefault="005C1BA8" w:rsidP="005C1BA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11F7A0CD" w14:textId="4ADA880C" w:rsidR="005C1BA8" w:rsidRPr="005D4B65" w:rsidRDefault="005C1BA8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</w:p>
        </w:tc>
      </w:tr>
      <w:tr w:rsidR="000A17F3" w:rsidRPr="00057E7B" w14:paraId="254BF6F4" w14:textId="77777777" w:rsidTr="00F10697">
        <w:tc>
          <w:tcPr>
            <w:tcW w:w="2736" w:type="dxa"/>
          </w:tcPr>
          <w:p w14:paraId="16352DB4" w14:textId="3633CBB2" w:rsidR="000A17F3" w:rsidRPr="005D4B65" w:rsidRDefault="000A17F3">
            <w:pPr>
              <w:rPr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3CFFF4" w14:textId="77777777" w:rsidR="000A17F3" w:rsidRPr="005D4B65" w:rsidRDefault="000A17F3" w:rsidP="002A4B21">
            <w:pPr>
              <w:rPr>
                <w:sz w:val="20"/>
                <w:szCs w:val="20"/>
                <w:lang w:val="fr-FR"/>
              </w:rPr>
            </w:pPr>
          </w:p>
          <w:p w14:paraId="112721E5" w14:textId="4255FA85" w:rsidR="000A17F3" w:rsidRPr="003011BD" w:rsidRDefault="00D12987" w:rsidP="00F10697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5D4B65">
              <w:rPr>
                <w:rFonts w:cs="Arial"/>
                <w:sz w:val="20"/>
                <w:szCs w:val="20"/>
                <w:lang w:val="fr-FR"/>
              </w:rPr>
              <w:t>L</w:t>
            </w:r>
            <w:r w:rsidR="00F10697">
              <w:rPr>
                <w:rFonts w:cs="Arial"/>
                <w:sz w:val="20"/>
                <w:szCs w:val="20"/>
                <w:lang w:val="fr-FR"/>
              </w:rPr>
              <w:t>e f</w:t>
            </w:r>
            <w:r w:rsidR="003F650E">
              <w:rPr>
                <w:rFonts w:cs="Arial"/>
                <w:sz w:val="20"/>
                <w:szCs w:val="20"/>
                <w:lang w:val="fr-FR"/>
              </w:rPr>
              <w:t>ormateur</w:t>
            </w:r>
            <w:r w:rsidRPr="005D4B65">
              <w:rPr>
                <w:rFonts w:cs="Arial"/>
                <w:sz w:val="20"/>
                <w:szCs w:val="20"/>
                <w:lang w:val="fr-FR"/>
              </w:rPr>
              <w:t xml:space="preserve"> est </w:t>
            </w:r>
            <w:r w:rsidR="0077363E">
              <w:rPr>
                <w:rFonts w:cs="Arial"/>
                <w:sz w:val="20"/>
                <w:szCs w:val="20"/>
                <w:lang w:val="fr-FR"/>
              </w:rPr>
              <w:t>responsable</w:t>
            </w:r>
            <w:r w:rsidR="0077363E" w:rsidRPr="005D4B65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5D4B65">
              <w:rPr>
                <w:rFonts w:cs="Arial"/>
                <w:sz w:val="20"/>
                <w:szCs w:val="20"/>
                <w:lang w:val="fr-FR"/>
              </w:rPr>
              <w:t>de missions et de compétences relatives à l'acquisition et au maintien des compétences professionnelles du personnel opérationnel actif au sein de l'organisation des services d'incendie.</w:t>
            </w:r>
          </w:p>
        </w:tc>
      </w:tr>
      <w:tr w:rsidR="000A17F3" w:rsidRPr="00057E7B" w14:paraId="4A29B3F4" w14:textId="77777777" w:rsidTr="00F10697">
        <w:tc>
          <w:tcPr>
            <w:tcW w:w="2736" w:type="dxa"/>
          </w:tcPr>
          <w:p w14:paraId="185EFDBA" w14:textId="77777777" w:rsidR="000A17F3" w:rsidRPr="005D4B65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0F389A52" w14:textId="77777777" w:rsidR="000A17F3" w:rsidRPr="005D4B65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CCD81CD" w14:textId="77777777" w:rsidR="000A17F3" w:rsidRPr="005D4B65" w:rsidRDefault="000A17F3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14:paraId="080585F7" w14:textId="77777777" w:rsidR="000A17F3" w:rsidRPr="005D4B65" w:rsidRDefault="000A17F3" w:rsidP="002A4B21">
            <w:pPr>
              <w:rPr>
                <w:sz w:val="20"/>
                <w:szCs w:val="20"/>
                <w:lang w:val="fr-FR"/>
              </w:rPr>
            </w:pPr>
          </w:p>
          <w:p w14:paraId="2D96C6E3" w14:textId="37A78228" w:rsidR="00E6149C" w:rsidRPr="005D4B65" w:rsidRDefault="00E6149C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5D4B65">
              <w:rPr>
                <w:sz w:val="20"/>
                <w:szCs w:val="20"/>
                <w:lang w:val="fr-FR"/>
              </w:rPr>
              <w:t xml:space="preserve">Sous la </w:t>
            </w:r>
            <w:r w:rsidRPr="00B80AB6">
              <w:rPr>
                <w:sz w:val="20"/>
                <w:szCs w:val="20"/>
                <w:lang w:val="fr-FR"/>
              </w:rPr>
              <w:t>responsabilité</w:t>
            </w:r>
            <w:r w:rsidR="00B80AB6" w:rsidRPr="00B80AB6">
              <w:rPr>
                <w:sz w:val="20"/>
                <w:szCs w:val="20"/>
                <w:lang w:val="fr-FR"/>
              </w:rPr>
              <w:t xml:space="preserve"> d’un coordinateur des formations et d’exercices </w:t>
            </w:r>
            <w:r w:rsidR="003F21A2">
              <w:rPr>
                <w:rFonts w:cs="Arial"/>
                <w:sz w:val="20"/>
                <w:szCs w:val="20"/>
                <w:lang w:val="fr-FR"/>
              </w:rPr>
              <w:t xml:space="preserve">au niveau zonal et/ou </w:t>
            </w:r>
            <w:r w:rsidR="00B80AB6">
              <w:rPr>
                <w:rFonts w:cs="Arial"/>
                <w:sz w:val="20"/>
                <w:szCs w:val="20"/>
                <w:lang w:val="fr-FR"/>
              </w:rPr>
              <w:t xml:space="preserve">d’un coordinateur des formations des services d’incendie </w:t>
            </w:r>
            <w:r w:rsidR="003F21A2">
              <w:rPr>
                <w:rFonts w:cs="Arial"/>
                <w:sz w:val="20"/>
                <w:szCs w:val="20"/>
                <w:lang w:val="fr-FR"/>
              </w:rPr>
              <w:t>au niveau des centres de formation agréés</w:t>
            </w:r>
            <w:r w:rsidRPr="005D4B65">
              <w:rPr>
                <w:sz w:val="20"/>
                <w:szCs w:val="20"/>
                <w:lang w:val="fr-FR"/>
              </w:rPr>
              <w:t xml:space="preserve">, </w:t>
            </w:r>
            <w:r w:rsidR="00F10697">
              <w:rPr>
                <w:sz w:val="20"/>
                <w:szCs w:val="20"/>
                <w:lang w:val="fr-FR"/>
              </w:rPr>
              <w:t xml:space="preserve">le </w:t>
            </w:r>
            <w:r w:rsidR="00F10697" w:rsidRPr="00B80AB6">
              <w:rPr>
                <w:sz w:val="20"/>
                <w:szCs w:val="20"/>
                <w:lang w:val="fr-FR"/>
              </w:rPr>
              <w:t>formateur</w:t>
            </w:r>
            <w:r w:rsidRPr="00B80AB6">
              <w:rPr>
                <w:sz w:val="20"/>
                <w:szCs w:val="20"/>
                <w:lang w:val="fr-FR"/>
              </w:rPr>
              <w:t xml:space="preserve"> 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enseigne </w:t>
            </w:r>
            <w:r w:rsidRPr="00B80AB6">
              <w:rPr>
                <w:sz w:val="20"/>
                <w:szCs w:val="20"/>
                <w:lang w:val="fr-FR"/>
              </w:rPr>
              <w:t>des parties définies d'un trajet d'apprentissage qui s'inscrivent dans sa</w:t>
            </w:r>
            <w:r w:rsidRPr="005D4B65">
              <w:rPr>
                <w:sz w:val="20"/>
                <w:szCs w:val="20"/>
                <w:lang w:val="fr-FR"/>
              </w:rPr>
              <w:t xml:space="preserve"> propre expertise professionnelle.</w:t>
            </w:r>
            <w:r w:rsidR="00F10697">
              <w:rPr>
                <w:sz w:val="20"/>
                <w:szCs w:val="20"/>
                <w:lang w:val="fr-FR"/>
              </w:rPr>
              <w:t xml:space="preserve"> Il</w:t>
            </w:r>
            <w:r w:rsidRPr="005D4B65">
              <w:rPr>
                <w:sz w:val="20"/>
                <w:szCs w:val="20"/>
                <w:lang w:val="fr-FR"/>
              </w:rPr>
              <w:t xml:space="preserve"> veille à ce que ses compétences soient à niveau, tant </w:t>
            </w:r>
            <w:r w:rsidR="002B0B2F">
              <w:rPr>
                <w:sz w:val="20"/>
                <w:szCs w:val="20"/>
                <w:lang w:val="fr-FR"/>
              </w:rPr>
              <w:t>au point de vue</w:t>
            </w:r>
            <w:r w:rsidRPr="005D4B65">
              <w:rPr>
                <w:sz w:val="20"/>
                <w:szCs w:val="20"/>
                <w:lang w:val="fr-FR"/>
              </w:rPr>
              <w:t xml:space="preserve"> du contenu qu</w:t>
            </w:r>
            <w:r w:rsidR="002B0B2F">
              <w:rPr>
                <w:sz w:val="20"/>
                <w:szCs w:val="20"/>
                <w:lang w:val="fr-FR"/>
              </w:rPr>
              <w:t>’au point de vue</w:t>
            </w:r>
            <w:r w:rsidRPr="005D4B65">
              <w:rPr>
                <w:sz w:val="20"/>
                <w:szCs w:val="20"/>
                <w:lang w:val="fr-FR"/>
              </w:rPr>
              <w:t xml:space="preserve"> didactique.</w:t>
            </w:r>
          </w:p>
          <w:p w14:paraId="30724CE6" w14:textId="77777777" w:rsidR="00F10697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C58AF29" w14:textId="74BE23DF" w:rsidR="00E6149C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formateur</w:t>
            </w:r>
            <w:r w:rsidR="00E6149C" w:rsidRPr="005D4B65">
              <w:rPr>
                <w:sz w:val="20"/>
                <w:szCs w:val="20"/>
                <w:lang w:val="fr-FR"/>
              </w:rPr>
              <w:t xml:space="preserve"> </w:t>
            </w:r>
            <w:r w:rsidR="002B0B2F">
              <w:rPr>
                <w:sz w:val="20"/>
                <w:szCs w:val="20"/>
                <w:lang w:val="fr-FR"/>
              </w:rPr>
              <w:t xml:space="preserve">dispose </w:t>
            </w:r>
            <w:r w:rsidR="00E6149C" w:rsidRPr="005D4B65">
              <w:rPr>
                <w:sz w:val="20"/>
                <w:szCs w:val="20"/>
                <w:lang w:val="fr-FR"/>
              </w:rPr>
              <w:t xml:space="preserve">de </w:t>
            </w:r>
            <w:r w:rsidR="00E6149C" w:rsidRPr="00B80AB6">
              <w:rPr>
                <w:sz w:val="20"/>
                <w:szCs w:val="20"/>
                <w:lang w:val="fr-FR"/>
              </w:rPr>
              <w:t>connaissances professionnelles approfondies</w:t>
            </w:r>
            <w:r w:rsidR="003F650E" w:rsidRPr="00B80AB6">
              <w:rPr>
                <w:sz w:val="20"/>
                <w:szCs w:val="20"/>
                <w:lang w:val="fr-FR"/>
              </w:rPr>
              <w:t xml:space="preserve"> qui lui </w:t>
            </w:r>
            <w:r w:rsidR="00694D86" w:rsidRPr="00B80AB6">
              <w:rPr>
                <w:sz w:val="20"/>
                <w:szCs w:val="20"/>
                <w:lang w:val="fr-FR"/>
              </w:rPr>
              <w:t xml:space="preserve">donnent une connaissance supérieure 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de </w:t>
            </w:r>
            <w:r w:rsidR="003F650E" w:rsidRPr="00B80AB6">
              <w:rPr>
                <w:sz w:val="20"/>
                <w:szCs w:val="20"/>
                <w:lang w:val="fr-FR"/>
              </w:rPr>
              <w:t>la matière enseignée.</w:t>
            </w:r>
            <w:r w:rsidR="00E6149C" w:rsidRPr="00B80AB6">
              <w:rPr>
                <w:sz w:val="20"/>
                <w:szCs w:val="20"/>
                <w:lang w:val="fr-FR"/>
              </w:rPr>
              <w:t xml:space="preserve"> Il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 dispose de </w:t>
            </w:r>
            <w:r w:rsidR="00E6149C" w:rsidRPr="00B80AB6">
              <w:rPr>
                <w:sz w:val="20"/>
                <w:szCs w:val="20"/>
                <w:lang w:val="fr-FR"/>
              </w:rPr>
              <w:t>la capacité de transmettre</w:t>
            </w:r>
            <w:r w:rsidR="00E6149C" w:rsidRPr="005D4B65">
              <w:rPr>
                <w:sz w:val="20"/>
                <w:szCs w:val="20"/>
                <w:lang w:val="fr-FR"/>
              </w:rPr>
              <w:t xml:space="preserve"> les connaissances et compétences requises.</w:t>
            </w:r>
          </w:p>
          <w:p w14:paraId="5036E054" w14:textId="77777777" w:rsidR="00F10697" w:rsidRPr="005D4B65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C2709B3" w14:textId="7AF7B422" w:rsidR="00E6149C" w:rsidRPr="00B80AB6" w:rsidRDefault="00E6149C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B80AB6">
              <w:rPr>
                <w:sz w:val="20"/>
                <w:szCs w:val="20"/>
                <w:lang w:val="fr-FR"/>
              </w:rPr>
              <w:t>Dans la chaîne de sécurité (</w:t>
            </w:r>
            <w:r w:rsidR="00C74046" w:rsidRPr="00B80AB6">
              <w:rPr>
                <w:sz w:val="20"/>
                <w:szCs w:val="20"/>
                <w:lang w:val="fr-FR"/>
              </w:rPr>
              <w:t>prévision</w:t>
            </w:r>
            <w:r w:rsidRPr="00B80AB6">
              <w:rPr>
                <w:sz w:val="20"/>
                <w:szCs w:val="20"/>
                <w:lang w:val="fr-FR"/>
              </w:rPr>
              <w:t xml:space="preserve">, prévention, préparation, </w:t>
            </w:r>
            <w:r w:rsidR="00C74046" w:rsidRPr="00B80AB6">
              <w:rPr>
                <w:sz w:val="20"/>
                <w:szCs w:val="20"/>
                <w:lang w:val="fr-FR"/>
              </w:rPr>
              <w:t xml:space="preserve">exécution </w:t>
            </w:r>
            <w:r w:rsidRPr="00B80AB6">
              <w:rPr>
                <w:sz w:val="20"/>
                <w:szCs w:val="20"/>
                <w:lang w:val="fr-FR"/>
              </w:rPr>
              <w:t xml:space="preserve">et </w:t>
            </w:r>
            <w:r w:rsidR="00C74046" w:rsidRPr="00B80AB6">
              <w:rPr>
                <w:sz w:val="20"/>
                <w:szCs w:val="20"/>
                <w:lang w:val="fr-FR"/>
              </w:rPr>
              <w:t>évaluation</w:t>
            </w:r>
            <w:r w:rsidRPr="00B80AB6">
              <w:rPr>
                <w:sz w:val="20"/>
                <w:szCs w:val="20"/>
                <w:lang w:val="fr-FR"/>
              </w:rPr>
              <w:t>)</w:t>
            </w:r>
            <w:r w:rsidR="005D4B65" w:rsidRPr="00B80AB6">
              <w:rPr>
                <w:sz w:val="20"/>
                <w:szCs w:val="20"/>
                <w:lang w:val="fr-FR"/>
              </w:rPr>
              <w:t>, la fonction d</w:t>
            </w:r>
            <w:r w:rsidR="00694D86" w:rsidRPr="00B80AB6">
              <w:rPr>
                <w:sz w:val="20"/>
                <w:szCs w:val="20"/>
                <w:lang w:val="fr-FR"/>
              </w:rPr>
              <w:t xml:space="preserve">e </w:t>
            </w:r>
            <w:r w:rsidR="003F650E" w:rsidRPr="00B80AB6">
              <w:rPr>
                <w:sz w:val="20"/>
                <w:szCs w:val="20"/>
                <w:lang w:val="fr-FR"/>
              </w:rPr>
              <w:t>formateur</w:t>
            </w:r>
            <w:r w:rsidR="005D4B65" w:rsidRPr="00B80AB6">
              <w:rPr>
                <w:sz w:val="20"/>
                <w:szCs w:val="20"/>
                <w:lang w:val="fr-FR"/>
              </w:rPr>
              <w:t xml:space="preserve"> relève du maillon </w:t>
            </w:r>
            <w:r w:rsidR="0090128A" w:rsidRPr="00B80AB6">
              <w:rPr>
                <w:sz w:val="20"/>
                <w:szCs w:val="20"/>
                <w:lang w:val="fr-FR"/>
              </w:rPr>
              <w:t>« </w:t>
            </w:r>
            <w:r w:rsidR="005D4B65" w:rsidRPr="00B80AB6">
              <w:rPr>
                <w:sz w:val="20"/>
                <w:szCs w:val="20"/>
                <w:lang w:val="fr-FR"/>
              </w:rPr>
              <w:t>préparation</w:t>
            </w:r>
            <w:r w:rsidR="0090128A" w:rsidRPr="00B80AB6">
              <w:rPr>
                <w:sz w:val="20"/>
                <w:szCs w:val="20"/>
                <w:lang w:val="fr-FR"/>
              </w:rPr>
              <w:t> »</w:t>
            </w:r>
            <w:r w:rsidR="005D4B65" w:rsidRPr="00B80AB6">
              <w:rPr>
                <w:sz w:val="20"/>
                <w:szCs w:val="20"/>
                <w:lang w:val="fr-FR"/>
              </w:rPr>
              <w:t>.</w:t>
            </w:r>
          </w:p>
          <w:p w14:paraId="6448C869" w14:textId="77777777" w:rsidR="00F10697" w:rsidRPr="00B80AB6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70E9A96" w14:textId="06DA5992" w:rsidR="005D4B65" w:rsidRDefault="005D4B65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B80AB6">
              <w:rPr>
                <w:sz w:val="20"/>
                <w:szCs w:val="20"/>
                <w:lang w:val="fr-FR"/>
              </w:rPr>
              <w:t>L</w:t>
            </w:r>
            <w:r w:rsidR="00694D86" w:rsidRPr="00B80AB6">
              <w:rPr>
                <w:sz w:val="20"/>
                <w:szCs w:val="20"/>
                <w:lang w:val="fr-FR"/>
              </w:rPr>
              <w:t xml:space="preserve">e </w:t>
            </w:r>
            <w:r w:rsidR="003F650E" w:rsidRPr="00B80AB6">
              <w:rPr>
                <w:sz w:val="20"/>
                <w:szCs w:val="20"/>
                <w:lang w:val="fr-FR"/>
              </w:rPr>
              <w:t>formateur</w:t>
            </w:r>
            <w:r w:rsidRPr="00B80AB6">
              <w:rPr>
                <w:sz w:val="20"/>
                <w:szCs w:val="20"/>
                <w:lang w:val="fr-FR"/>
              </w:rPr>
              <w:t xml:space="preserve"> est actif dans une </w:t>
            </w:r>
            <w:r w:rsidR="00E135AE">
              <w:rPr>
                <w:sz w:val="20"/>
                <w:szCs w:val="20"/>
                <w:lang w:val="fr-FR"/>
              </w:rPr>
              <w:t xml:space="preserve">ou plusieurs </w:t>
            </w:r>
            <w:r w:rsidRPr="00B80AB6">
              <w:rPr>
                <w:sz w:val="20"/>
                <w:szCs w:val="20"/>
                <w:lang w:val="fr-FR"/>
              </w:rPr>
              <w:t>zone</w:t>
            </w:r>
            <w:r w:rsidR="00E135AE">
              <w:rPr>
                <w:sz w:val="20"/>
                <w:szCs w:val="20"/>
                <w:lang w:val="fr-FR"/>
              </w:rPr>
              <w:t>s</w:t>
            </w:r>
            <w:r w:rsidRPr="00B80AB6">
              <w:rPr>
                <w:sz w:val="20"/>
                <w:szCs w:val="20"/>
                <w:lang w:val="fr-FR"/>
              </w:rPr>
              <w:t xml:space="preserve"> et/ou au sein d'un </w:t>
            </w:r>
            <w:r w:rsidR="00592810" w:rsidRPr="00B80AB6">
              <w:rPr>
                <w:sz w:val="20"/>
                <w:szCs w:val="20"/>
                <w:lang w:val="fr-FR"/>
              </w:rPr>
              <w:t xml:space="preserve">centre </w:t>
            </w:r>
            <w:r w:rsidRPr="00B80AB6">
              <w:rPr>
                <w:sz w:val="20"/>
                <w:szCs w:val="20"/>
                <w:lang w:val="fr-FR"/>
              </w:rPr>
              <w:t>de formation.</w:t>
            </w:r>
          </w:p>
          <w:p w14:paraId="573D5270" w14:textId="77777777" w:rsidR="00F10697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FC82FE2" w14:textId="6368A1ED" w:rsidR="00F10697" w:rsidRDefault="005D4B65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694D86">
              <w:rPr>
                <w:sz w:val="20"/>
                <w:szCs w:val="20"/>
                <w:lang w:val="fr-FR"/>
              </w:rPr>
              <w:t xml:space="preserve">e </w:t>
            </w:r>
            <w:r w:rsidR="003F650E">
              <w:rPr>
                <w:sz w:val="20"/>
                <w:szCs w:val="20"/>
                <w:lang w:val="fr-FR"/>
              </w:rPr>
              <w:t>formateur</w:t>
            </w:r>
            <w:r>
              <w:rPr>
                <w:sz w:val="20"/>
                <w:szCs w:val="20"/>
                <w:lang w:val="fr-FR"/>
              </w:rPr>
              <w:t xml:space="preserve"> rend compte</w:t>
            </w:r>
            <w:r w:rsidR="00B80AB6" w:rsidRPr="00B80AB6">
              <w:rPr>
                <w:sz w:val="20"/>
                <w:szCs w:val="20"/>
                <w:lang w:val="fr-FR"/>
              </w:rPr>
              <w:t xml:space="preserve"> </w:t>
            </w:r>
            <w:r w:rsidR="00B80AB6">
              <w:rPr>
                <w:sz w:val="20"/>
                <w:szCs w:val="20"/>
                <w:lang w:val="fr-FR"/>
              </w:rPr>
              <w:t xml:space="preserve">au </w:t>
            </w:r>
            <w:r w:rsidR="00B80AB6" w:rsidRPr="00B80AB6">
              <w:rPr>
                <w:sz w:val="20"/>
                <w:szCs w:val="20"/>
                <w:lang w:val="fr-FR"/>
              </w:rPr>
              <w:t xml:space="preserve">coordinateur des formations et d’exercices </w:t>
            </w:r>
            <w:r w:rsidR="00B80AB6">
              <w:rPr>
                <w:rFonts w:cs="Arial"/>
                <w:sz w:val="20"/>
                <w:szCs w:val="20"/>
                <w:lang w:val="fr-FR"/>
              </w:rPr>
              <w:t xml:space="preserve">au niveau zonal et/ou au coordinateur des formations des </w:t>
            </w:r>
            <w:r w:rsidR="00B80AB6">
              <w:rPr>
                <w:rFonts w:cs="Arial"/>
                <w:sz w:val="20"/>
                <w:szCs w:val="20"/>
                <w:lang w:val="fr-FR"/>
              </w:rPr>
              <w:lastRenderedPageBreak/>
              <w:t>services d’incendie au niveau des centres de formation agréés</w:t>
            </w:r>
            <w:r w:rsidR="003F21A2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3F21A2">
              <w:rPr>
                <w:sz w:val="20"/>
                <w:szCs w:val="20"/>
                <w:lang w:val="fr-FR"/>
              </w:rPr>
              <w:t xml:space="preserve">en charge </w:t>
            </w:r>
            <w:r w:rsidR="00E3232B">
              <w:rPr>
                <w:sz w:val="20"/>
                <w:szCs w:val="20"/>
                <w:lang w:val="fr-FR"/>
              </w:rPr>
              <w:t xml:space="preserve">d'un trajet d'apprentissage. </w:t>
            </w:r>
          </w:p>
          <w:p w14:paraId="6C49F92A" w14:textId="77777777" w:rsidR="00F10697" w:rsidRDefault="00F10697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3A1F1BA" w14:textId="4DE1D8E0" w:rsidR="005D4B65" w:rsidRPr="005D4B65" w:rsidRDefault="00E3232B" w:rsidP="001056C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694D86">
              <w:rPr>
                <w:sz w:val="20"/>
                <w:szCs w:val="20"/>
                <w:lang w:val="fr-FR"/>
              </w:rPr>
              <w:t xml:space="preserve">e </w:t>
            </w:r>
            <w:r w:rsidR="003F650E">
              <w:rPr>
                <w:sz w:val="20"/>
                <w:szCs w:val="20"/>
                <w:lang w:val="fr-FR"/>
              </w:rPr>
              <w:t>formateur</w:t>
            </w:r>
            <w:r>
              <w:rPr>
                <w:sz w:val="20"/>
                <w:szCs w:val="20"/>
                <w:lang w:val="fr-FR"/>
              </w:rPr>
              <w:t xml:space="preserve"> doit pouvoir collaborer dans différentes cultures/disciplines et à plusieurs niveaux.</w:t>
            </w:r>
          </w:p>
          <w:p w14:paraId="52F989D6" w14:textId="2779B3A9" w:rsidR="000A17F3" w:rsidRPr="005D4B65" w:rsidRDefault="000A17F3" w:rsidP="001056C5">
            <w:pPr>
              <w:rPr>
                <w:sz w:val="20"/>
                <w:szCs w:val="20"/>
                <w:lang w:val="fr-FR"/>
              </w:rPr>
            </w:pPr>
          </w:p>
        </w:tc>
      </w:tr>
      <w:tr w:rsidR="000A17F3" w:rsidRPr="00057E7B" w14:paraId="341D8707" w14:textId="77777777" w:rsidTr="00F10697">
        <w:tc>
          <w:tcPr>
            <w:tcW w:w="2736" w:type="dxa"/>
          </w:tcPr>
          <w:p w14:paraId="6D2834A3" w14:textId="42C80CA1" w:rsidR="000A17F3" w:rsidRPr="005D4B65" w:rsidRDefault="000A17F3" w:rsidP="00760F5B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80AB6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Tâches</w:t>
            </w:r>
            <w:r w:rsidR="00760F5B" w:rsidRPr="00B80AB6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B80AB6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760F5B" w:rsidRPr="00B80AB6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6" w:type="dxa"/>
            <w:gridSpan w:val="4"/>
            <w:shd w:val="clear" w:color="auto" w:fill="auto"/>
          </w:tcPr>
          <w:p w14:paraId="769038BC" w14:textId="77777777" w:rsidR="000A17F3" w:rsidRPr="005D4B65" w:rsidRDefault="000A17F3" w:rsidP="006B5689">
            <w:p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6B625493" w14:textId="2283F967" w:rsidR="000A17F3" w:rsidRPr="005D4B65" w:rsidRDefault="00E3232B" w:rsidP="00F10697">
            <w:pPr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F10697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Formateur</w:t>
            </w:r>
          </w:p>
          <w:p w14:paraId="36538C94" w14:textId="77777777" w:rsidR="000A17F3" w:rsidRPr="005D4B65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78849822" w14:textId="06DCB9D9" w:rsidR="00E3232B" w:rsidRDefault="00694D86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Mettre en place 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>des exercices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>formations dans le cadre du</w:t>
            </w:r>
            <w:r w:rsidR="00760F5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programme général de </w:t>
            </w:r>
            <w:r w:rsidR="00760F5B" w:rsidRPr="00B80AB6">
              <w:rPr>
                <w:rFonts w:cs="Arial"/>
                <w:color w:val="000000"/>
                <w:sz w:val="20"/>
                <w:szCs w:val="20"/>
                <w:lang w:val="fr-FR"/>
              </w:rPr>
              <w:t>formation</w:t>
            </w:r>
            <w:r w:rsidR="00E3232B" w:rsidRPr="00B80AB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afin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d'assurer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un monitoring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>un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perfectionnement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continu en vue d’un </w:t>
            </w:r>
            <w:r w:rsidR="00E3232B">
              <w:rPr>
                <w:rFonts w:cs="Arial"/>
                <w:color w:val="000000"/>
                <w:sz w:val="20"/>
                <w:szCs w:val="20"/>
                <w:lang w:val="fr-FR"/>
              </w:rPr>
              <w:t>bon fonctionnement du service.</w:t>
            </w:r>
          </w:p>
          <w:p w14:paraId="3359B1BA" w14:textId="77777777" w:rsidR="000A17F3" w:rsidRPr="005D4B65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63CBD47" w14:textId="543DBA48" w:rsidR="00E3232B" w:rsidRDefault="00E3232B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</w:t>
            </w:r>
            <w:r w:rsidR="00625DD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 </w:t>
            </w:r>
            <w:r w:rsidR="003F650E">
              <w:rPr>
                <w:rFonts w:cs="Arial"/>
                <w:color w:val="000000"/>
                <w:sz w:val="20"/>
                <w:szCs w:val="20"/>
                <w:lang w:val="fr-FR"/>
              </w:rPr>
              <w:t>formateur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exécute 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>des parties</w:t>
            </w:r>
            <w:r w:rsidR="00694D8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du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>programme</w:t>
            </w:r>
            <w:r w:rsidR="00694D8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formation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exercices délimités, conformément à la vision de la formation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basée 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>sur les compétences, et contribue à l'accompagnement des participants dans leur processus d'apprentissage, tout en veillant à un climat d'apprenti</w:t>
            </w:r>
            <w:r w:rsidR="00943397">
              <w:rPr>
                <w:rFonts w:cs="Arial"/>
                <w:color w:val="000000"/>
                <w:sz w:val="20"/>
                <w:szCs w:val="20"/>
                <w:lang w:val="fr-FR"/>
              </w:rPr>
              <w:t>ssage</w:t>
            </w:r>
            <w:r w:rsidR="0030732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qualité. </w:t>
            </w:r>
          </w:p>
          <w:p w14:paraId="0401C5DF" w14:textId="6D584F74" w:rsidR="000A17F3" w:rsidRPr="005D4B65" w:rsidRDefault="000A17F3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8B35443" w14:textId="77777777" w:rsidR="000A17F3" w:rsidRPr="005D4B65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87D0B32" w14:textId="77777777" w:rsidR="0030732F" w:rsidRPr="0088212C" w:rsidRDefault="0030732F" w:rsidP="0030732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A02B45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A02B45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5B03B11C" w14:textId="3C039E7D" w:rsidR="00536581" w:rsidRDefault="00536581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Apprendre et rafraîchir les connaissances et aptitudes des hommes en matière de procédures opérationnelles et de méthodes de travail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6BF951D" w14:textId="71E3F27B" w:rsidR="000A17F3" w:rsidRPr="005D4B65" w:rsidRDefault="00625DDB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M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ettre en place </w:t>
            </w:r>
            <w:r w:rsidR="0053658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scénarios </w:t>
            </w:r>
            <w:r w:rsidR="00536581">
              <w:rPr>
                <w:rFonts w:cs="Arial"/>
                <w:color w:val="000000"/>
                <w:sz w:val="20"/>
                <w:szCs w:val="20"/>
                <w:lang w:val="fr-FR"/>
              </w:rPr>
              <w:t>d'exercices</w:t>
            </w:r>
            <w:r w:rsidR="007212D0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53658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des scénarios de formation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594B33E" w14:textId="50DA470D" w:rsidR="00536581" w:rsidRDefault="00536581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Assurer le suivi des dernières évolutions et techniques opérationnelles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544C649" w14:textId="1BEED9D6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Enseigner aux hommes, même en dehors des cours, de nouvelles méthodes et techniques, et évaluer et stimuler le respect des procédures opérationnelles.</w:t>
            </w:r>
          </w:p>
          <w:p w14:paraId="34A55A2F" w14:textId="24CFD2FA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Veiller à fournir des parties délimitées de théorie et de pratique dans le cadre des trajets d'apprentissage, conformément au plan de cours.</w:t>
            </w:r>
          </w:p>
          <w:p w14:paraId="46819796" w14:textId="7453ABD2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Maintenir à niveau </w:t>
            </w:r>
            <w:r w:rsidR="00E471BE">
              <w:rPr>
                <w:rFonts w:cs="Arial"/>
                <w:color w:val="000000"/>
                <w:sz w:val="20"/>
                <w:szCs w:val="20"/>
                <w:lang w:val="fr-FR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es connaissances didactiques et spécialisées grâce à la formation continue et à </w:t>
            </w:r>
            <w:r w:rsidR="00943397">
              <w:rPr>
                <w:rFonts w:cs="Arial"/>
                <w:color w:val="000000"/>
                <w:sz w:val="20"/>
                <w:szCs w:val="20"/>
                <w:lang w:val="fr-FR"/>
              </w:rPr>
              <w:t>l’i</w:t>
            </w:r>
            <w:r w:rsidR="00120775">
              <w:rPr>
                <w:rFonts w:cs="Arial"/>
                <w:color w:val="000000"/>
                <w:sz w:val="20"/>
                <w:szCs w:val="20"/>
                <w:lang w:val="fr-FR"/>
              </w:rPr>
              <w:t>ntervision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F36225F" w14:textId="455188B7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Réfléchir à son propre fonctionnement.</w:t>
            </w:r>
          </w:p>
          <w:p w14:paraId="0AD179F2" w14:textId="2F3941A8" w:rsidR="000A17F3" w:rsidRPr="005D4B65" w:rsidRDefault="00803600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Veiller à instaurer un environnement d'apprentissage sécurisé</w:t>
            </w:r>
          </w:p>
          <w:p w14:paraId="3911A639" w14:textId="77777777" w:rsidR="00943397" w:rsidRDefault="00E471BE" w:rsidP="00194F54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>Contribuer</w:t>
            </w:r>
            <w:r w:rsidR="00803600"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l'accompagnement des participants au niveau des compétences </w:t>
            </w:r>
            <w:r w:rsidR="009433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2AF39442" w14:textId="20069F15" w:rsidR="00803600" w:rsidRPr="00943397" w:rsidRDefault="0019545C" w:rsidP="00194F54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>Observer et évaluer les participants et établir des rapports à ce sujet</w:t>
            </w:r>
            <w:r w:rsidR="00F10697" w:rsidRPr="009433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63281B03" w14:textId="444F29AB" w:rsidR="000A17F3" w:rsidRPr="005D4B65" w:rsidRDefault="0019545C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Donner un feed-back à titre informatif aux participants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4A12021" w14:textId="2BFE4B68" w:rsidR="000A17F3" w:rsidRPr="005D4B65" w:rsidRDefault="0019545C" w:rsidP="001056C5">
            <w:pPr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Appliquer la systématique de l'évaluation</w:t>
            </w:r>
            <w:r w:rsidR="00F1069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3A784C8D" w14:textId="6AB594EC" w:rsidR="000A17F3" w:rsidRPr="005D4B65" w:rsidRDefault="000A17F3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AA3044" w:rsidRPr="005D4B65" w14:paraId="29431B1F" w14:textId="77777777" w:rsidTr="00F10697">
        <w:tc>
          <w:tcPr>
            <w:tcW w:w="2736" w:type="dxa"/>
          </w:tcPr>
          <w:p w14:paraId="45E976C0" w14:textId="75229805" w:rsidR="00AA3044" w:rsidRPr="005D4B65" w:rsidRDefault="000A17F3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Place dans l'organisation</w:t>
            </w:r>
          </w:p>
        </w:tc>
        <w:tc>
          <w:tcPr>
            <w:tcW w:w="6546" w:type="dxa"/>
            <w:gridSpan w:val="4"/>
          </w:tcPr>
          <w:p w14:paraId="287D9006" w14:textId="77777777" w:rsidR="00AA3044" w:rsidRPr="005D4B65" w:rsidRDefault="00AA3044">
            <w:pPr>
              <w:rPr>
                <w:sz w:val="20"/>
                <w:szCs w:val="20"/>
                <w:lang w:val="fr-FR"/>
              </w:rPr>
            </w:pPr>
          </w:p>
          <w:p w14:paraId="740AFBB6" w14:textId="4ED05656" w:rsidR="00AA3044" w:rsidRPr="005D4B65" w:rsidRDefault="0019545C" w:rsidP="00897066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est dirigée par </w:t>
            </w:r>
            <w:r w:rsidR="00AA3044"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653D25B6" w14:textId="02E88E5B" w:rsidR="00F3261D" w:rsidRDefault="00F3261D" w:rsidP="00897066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Un </w:t>
            </w:r>
            <w:r w:rsidR="00B43BEC">
              <w:rPr>
                <w:rFonts w:cs="Arial"/>
                <w:sz w:val="20"/>
                <w:szCs w:val="20"/>
                <w:lang w:val="fr-FR"/>
              </w:rPr>
              <w:t>coordinateur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des formations</w:t>
            </w:r>
            <w:r w:rsidR="007212D0">
              <w:rPr>
                <w:rFonts w:cs="Arial"/>
                <w:sz w:val="20"/>
                <w:szCs w:val="20"/>
                <w:lang w:val="fr-FR"/>
              </w:rPr>
              <w:t xml:space="preserve"> et d’exercices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au niveau zonal et/ou un </w:t>
            </w:r>
            <w:r w:rsidR="00B43BEC">
              <w:rPr>
                <w:rFonts w:cs="Arial"/>
                <w:sz w:val="20"/>
                <w:szCs w:val="20"/>
                <w:lang w:val="fr-FR"/>
              </w:rPr>
              <w:t>coordinateur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des formations </w:t>
            </w:r>
            <w:r w:rsidR="007212D0">
              <w:rPr>
                <w:rFonts w:cs="Arial"/>
                <w:sz w:val="20"/>
                <w:szCs w:val="20"/>
                <w:lang w:val="fr-FR"/>
              </w:rPr>
              <w:t xml:space="preserve">et d’exercices </w:t>
            </w:r>
            <w:r>
              <w:rPr>
                <w:rFonts w:cs="Arial"/>
                <w:sz w:val="20"/>
                <w:szCs w:val="20"/>
                <w:lang w:val="fr-FR"/>
              </w:rPr>
              <w:t>des services d'incendie au niveau des centres de formation agréés.</w:t>
            </w:r>
          </w:p>
          <w:p w14:paraId="31416C9F" w14:textId="77777777" w:rsidR="00AA3044" w:rsidRPr="005D4B65" w:rsidRDefault="00AA3044" w:rsidP="00897066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2D4B1EE" w14:textId="24129D91" w:rsidR="00AA3044" w:rsidRPr="005D4B65" w:rsidRDefault="0019545C" w:rsidP="00897066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dirige </w:t>
            </w:r>
            <w:r w:rsidR="00AA3044"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0A72DFA3" w14:textId="77777777" w:rsidR="00AA3044" w:rsidRPr="005D4B65" w:rsidRDefault="001056C5" w:rsidP="00C20776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5D4B65">
              <w:rPr>
                <w:rFonts w:cs="Arial"/>
                <w:sz w:val="20"/>
                <w:szCs w:val="20"/>
                <w:lang w:val="fr-FR"/>
              </w:rPr>
              <w:t>/</w:t>
            </w:r>
          </w:p>
          <w:p w14:paraId="71B0DE0A" w14:textId="74E4D957" w:rsidR="001056C5" w:rsidRPr="005D4B65" w:rsidRDefault="001056C5" w:rsidP="00C20776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F788C" w:rsidRPr="00057E7B" w14:paraId="31B6440F" w14:textId="77777777" w:rsidTr="00F10697">
        <w:tc>
          <w:tcPr>
            <w:tcW w:w="2736" w:type="dxa"/>
            <w:vMerge w:val="restart"/>
          </w:tcPr>
          <w:p w14:paraId="1DD11989" w14:textId="5739CE78" w:rsidR="002F788C" w:rsidRPr="005D4B65" w:rsidRDefault="000A17F3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Eléments de réseau</w:t>
            </w:r>
          </w:p>
        </w:tc>
        <w:tc>
          <w:tcPr>
            <w:tcW w:w="6546" w:type="dxa"/>
            <w:gridSpan w:val="4"/>
          </w:tcPr>
          <w:p w14:paraId="2644BC07" w14:textId="77777777" w:rsidR="00F10697" w:rsidRDefault="00F10697" w:rsidP="00897066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14:paraId="66EF509C" w14:textId="25F87291" w:rsidR="002F788C" w:rsidRPr="005D4B65" w:rsidRDefault="00F3261D" w:rsidP="00897066">
            <w:pPr>
              <w:rPr>
                <w:b/>
                <w:sz w:val="20"/>
                <w:szCs w:val="20"/>
                <w:u w:val="single"/>
                <w:lang w:val="fr-FR"/>
              </w:rPr>
            </w:pPr>
            <w:r>
              <w:rPr>
                <w:b/>
                <w:sz w:val="20"/>
                <w:szCs w:val="20"/>
                <w:u w:val="single"/>
                <w:lang w:val="fr-FR"/>
              </w:rPr>
              <w:t>La fonction reçoit des infos de</w:t>
            </w:r>
          </w:p>
          <w:p w14:paraId="7CA3C47F" w14:textId="77777777" w:rsidR="002F788C" w:rsidRPr="005D4B65" w:rsidRDefault="002F788C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2F788C" w:rsidRPr="00057E7B" w14:paraId="61F2A566" w14:textId="77777777" w:rsidTr="00F10697">
        <w:tc>
          <w:tcPr>
            <w:tcW w:w="2736" w:type="dxa"/>
            <w:vMerge/>
          </w:tcPr>
          <w:p w14:paraId="1811DA37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gridSpan w:val="2"/>
          </w:tcPr>
          <w:p w14:paraId="1A2BC895" w14:textId="4696A472" w:rsidR="002F788C" w:rsidRPr="005D4B65" w:rsidRDefault="00B43BEC" w:rsidP="007212D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Coordinateur</w:t>
            </w:r>
            <w:r w:rsidR="00F3261D">
              <w:rPr>
                <w:sz w:val="20"/>
                <w:szCs w:val="20"/>
                <w:lang w:val="fr-FR"/>
              </w:rPr>
              <w:t xml:space="preserve"> des formations</w:t>
            </w:r>
            <w:r w:rsidR="007212D0">
              <w:rPr>
                <w:sz w:val="20"/>
                <w:szCs w:val="20"/>
                <w:lang w:val="fr-FR"/>
              </w:rPr>
              <w:t xml:space="preserve"> </w:t>
            </w:r>
            <w:r w:rsidR="007212D0">
              <w:rPr>
                <w:rFonts w:cs="Arial"/>
                <w:sz w:val="20"/>
                <w:szCs w:val="20"/>
                <w:lang w:val="fr-FR"/>
              </w:rPr>
              <w:t>et d’exercices</w:t>
            </w:r>
          </w:p>
        </w:tc>
        <w:tc>
          <w:tcPr>
            <w:tcW w:w="1832" w:type="dxa"/>
          </w:tcPr>
          <w:p w14:paraId="1CBAAEA2" w14:textId="37EF9DD2" w:rsidR="002F788C" w:rsidRPr="005D4B65" w:rsidRDefault="00F3261D" w:rsidP="00F326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Questions orales et écrites, avis, etc. </w:t>
            </w:r>
          </w:p>
        </w:tc>
        <w:tc>
          <w:tcPr>
            <w:tcW w:w="1931" w:type="dxa"/>
          </w:tcPr>
          <w:p w14:paraId="71C65D35" w14:textId="45F07DF0" w:rsidR="002F788C" w:rsidRPr="005D4B65" w:rsidRDefault="00F3261D" w:rsidP="00F326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Contacts personnels, informels, mails, etc.</w:t>
            </w:r>
          </w:p>
        </w:tc>
      </w:tr>
      <w:tr w:rsidR="002F788C" w:rsidRPr="00057E7B" w14:paraId="2E6C7D13" w14:textId="77777777" w:rsidTr="00F10697">
        <w:tc>
          <w:tcPr>
            <w:tcW w:w="2736" w:type="dxa"/>
            <w:vMerge/>
          </w:tcPr>
          <w:p w14:paraId="23FC8F40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</w:tcPr>
          <w:p w14:paraId="32C78214" w14:textId="662509B8" w:rsidR="002F788C" w:rsidRPr="005D4B65" w:rsidRDefault="00F3261D" w:rsidP="00E33AD0">
            <w:pPr>
              <w:rPr>
                <w:b/>
                <w:sz w:val="20"/>
                <w:szCs w:val="20"/>
                <w:u w:val="single"/>
                <w:lang w:val="fr-FR"/>
              </w:rPr>
            </w:pPr>
            <w:r>
              <w:rPr>
                <w:b/>
                <w:sz w:val="20"/>
                <w:szCs w:val="20"/>
                <w:u w:val="single"/>
                <w:lang w:val="fr-FR"/>
              </w:rPr>
              <w:t>La fonction fournit des infos à</w:t>
            </w:r>
          </w:p>
          <w:p w14:paraId="2B10612B" w14:textId="3EA293B9" w:rsidR="002F788C" w:rsidRPr="005D4B65" w:rsidRDefault="002F788C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2F788C" w:rsidRPr="005D4B65" w14:paraId="14DA7716" w14:textId="77777777" w:rsidTr="00F10697">
        <w:tc>
          <w:tcPr>
            <w:tcW w:w="2736" w:type="dxa"/>
            <w:vMerge/>
          </w:tcPr>
          <w:p w14:paraId="1306FC33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gridSpan w:val="2"/>
          </w:tcPr>
          <w:p w14:paraId="3C2D0310" w14:textId="6613030D" w:rsidR="002F788C" w:rsidRPr="005D4B65" w:rsidRDefault="00B43BEC" w:rsidP="007212D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Coordinateur</w:t>
            </w:r>
            <w:r w:rsidR="007212D0">
              <w:rPr>
                <w:sz w:val="20"/>
                <w:szCs w:val="20"/>
                <w:lang w:val="fr-FR"/>
              </w:rPr>
              <w:t xml:space="preserve"> </w:t>
            </w:r>
            <w:r w:rsidR="00F3261D">
              <w:rPr>
                <w:sz w:val="20"/>
                <w:szCs w:val="20"/>
                <w:lang w:val="fr-FR"/>
              </w:rPr>
              <w:t>des formations</w:t>
            </w:r>
            <w:r w:rsidR="007212D0">
              <w:rPr>
                <w:rFonts w:cs="Arial"/>
                <w:sz w:val="20"/>
                <w:szCs w:val="20"/>
                <w:lang w:val="fr-FR"/>
              </w:rPr>
              <w:t xml:space="preserve"> et d’exercices</w:t>
            </w:r>
          </w:p>
        </w:tc>
        <w:tc>
          <w:tcPr>
            <w:tcW w:w="1832" w:type="dxa"/>
          </w:tcPr>
          <w:p w14:paraId="25DB5B13" w14:textId="4CDC6B47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 orales et écrites, avis, etc.</w:t>
            </w:r>
          </w:p>
        </w:tc>
        <w:tc>
          <w:tcPr>
            <w:tcW w:w="1931" w:type="dxa"/>
          </w:tcPr>
          <w:p w14:paraId="0E05F025" w14:textId="22AB19F9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Contacts personnels</w:t>
            </w:r>
          </w:p>
        </w:tc>
      </w:tr>
      <w:tr w:rsidR="002F788C" w:rsidRPr="00057E7B" w14:paraId="3C48244B" w14:textId="77777777" w:rsidTr="00F10697">
        <w:tc>
          <w:tcPr>
            <w:tcW w:w="2736" w:type="dxa"/>
            <w:vMerge/>
          </w:tcPr>
          <w:p w14:paraId="1C1750F3" w14:textId="77777777" w:rsidR="002F788C" w:rsidRPr="005D4B65" w:rsidRDefault="002F788C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gridSpan w:val="2"/>
          </w:tcPr>
          <w:p w14:paraId="0B373769" w14:textId="3F464275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Collègues</w:t>
            </w:r>
          </w:p>
        </w:tc>
        <w:tc>
          <w:tcPr>
            <w:tcW w:w="1832" w:type="dxa"/>
          </w:tcPr>
          <w:p w14:paraId="6055807F" w14:textId="5FC10878" w:rsidR="002F788C" w:rsidRPr="005D4B65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 orales et écrites, avis, etc.</w:t>
            </w:r>
          </w:p>
        </w:tc>
        <w:tc>
          <w:tcPr>
            <w:tcW w:w="1931" w:type="dxa"/>
          </w:tcPr>
          <w:p w14:paraId="26C25271" w14:textId="77777777" w:rsidR="002F788C" w:rsidRDefault="00F3261D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Contacts personnels, informels, mails, etc.</w:t>
            </w:r>
          </w:p>
          <w:p w14:paraId="45893878" w14:textId="3CBB7B15" w:rsidR="00F10697" w:rsidRPr="005D4B65" w:rsidRDefault="00F10697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E33AD0" w:rsidRPr="00057E7B" w14:paraId="2122182D" w14:textId="77777777" w:rsidTr="00F10697">
        <w:tc>
          <w:tcPr>
            <w:tcW w:w="2736" w:type="dxa"/>
          </w:tcPr>
          <w:p w14:paraId="238F4B58" w14:textId="77777777" w:rsidR="00E33AD0" w:rsidRPr="005D4B65" w:rsidRDefault="00E33AD0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D4B65">
              <w:rPr>
                <w:b/>
                <w:color w:val="0000FF"/>
                <w:sz w:val="20"/>
                <w:szCs w:val="20"/>
                <w:lang w:val="fr-FR"/>
              </w:rPr>
              <w:t>Autonomie</w:t>
            </w:r>
          </w:p>
          <w:p w14:paraId="4B4A25F7" w14:textId="77777777" w:rsidR="00E33AD0" w:rsidRPr="005D4B65" w:rsidRDefault="00E33AD0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4"/>
          </w:tcPr>
          <w:p w14:paraId="769F5B01" w14:textId="77777777" w:rsidR="00E33AD0" w:rsidRPr="00943397" w:rsidRDefault="00E33AD0" w:rsidP="009A0481">
            <w:pPr>
              <w:rPr>
                <w:sz w:val="20"/>
                <w:szCs w:val="20"/>
                <w:lang w:val="fr-FR"/>
              </w:rPr>
            </w:pPr>
          </w:p>
          <w:p w14:paraId="4A29F6DE" w14:textId="708734C4" w:rsidR="004459BF" w:rsidRPr="00943397" w:rsidRDefault="004459BF" w:rsidP="002778AB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/>
                <w:bCs/>
                <w:sz w:val="20"/>
                <w:szCs w:val="20"/>
                <w:lang w:val="fr-FR"/>
              </w:rPr>
              <w:t>La fonction peut décider de manière autonome du :</w:t>
            </w:r>
          </w:p>
          <w:p w14:paraId="10F62F54" w14:textId="07E18987" w:rsidR="004459BF" w:rsidRPr="00943397" w:rsidRDefault="004459BF" w:rsidP="003042AE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Cs/>
                <w:sz w:val="20"/>
                <w:szCs w:val="20"/>
                <w:lang w:val="fr-FR"/>
              </w:rPr>
              <w:t>Choix d'une solution alternative si les objectifs d'apprentissage ne seront pas atteints en raison d'un changement de situation imprévisible</w:t>
            </w:r>
            <w:r w:rsidR="00F10697" w:rsidRPr="00943397">
              <w:rPr>
                <w:rFonts w:cs="Arial"/>
                <w:bCs/>
                <w:sz w:val="20"/>
                <w:szCs w:val="20"/>
                <w:lang w:val="fr-FR"/>
              </w:rPr>
              <w:t>.</w:t>
            </w:r>
          </w:p>
          <w:p w14:paraId="370CC7E3" w14:textId="3FAB11C5" w:rsidR="004459BF" w:rsidRPr="00943397" w:rsidRDefault="004459BF" w:rsidP="003042AE">
            <w:pPr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Cs/>
                <w:sz w:val="20"/>
                <w:szCs w:val="20"/>
                <w:lang w:val="fr-FR"/>
              </w:rPr>
              <w:t>Timing et mode d'exécution concrets des tâches qui lui incombent, conformément aux instructions données, où les objectifs d'apprentissage restent toujours la priorité première.</w:t>
            </w:r>
          </w:p>
          <w:p w14:paraId="1C6F3178" w14:textId="77777777" w:rsidR="000021EE" w:rsidRPr="00943397" w:rsidRDefault="000021EE" w:rsidP="003042AE">
            <w:pPr>
              <w:rPr>
                <w:rFonts w:cs="Arial"/>
                <w:lang w:val="fr-FR"/>
              </w:rPr>
            </w:pPr>
          </w:p>
          <w:p w14:paraId="4F50BEC4" w14:textId="64DC3FC4" w:rsidR="004459BF" w:rsidRPr="00943397" w:rsidRDefault="004459BF" w:rsidP="000021EE">
            <w:pPr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b/>
                <w:bCs/>
                <w:sz w:val="20"/>
                <w:szCs w:val="20"/>
                <w:lang w:val="fr-FR"/>
              </w:rPr>
              <w:t>La fonction doit demander l'autorisation pour :</w:t>
            </w:r>
          </w:p>
          <w:p w14:paraId="20D582AB" w14:textId="6827F570" w:rsidR="004459BF" w:rsidRPr="00943397" w:rsidRDefault="003011BD" w:rsidP="003042AE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sz w:val="20"/>
                <w:szCs w:val="20"/>
                <w:lang w:val="fr-FR"/>
              </w:rPr>
              <w:t>Toute initiative qui ne lui est pas imposée par son supérieur ou qui ne relève pas de son droit d'initiative dans le cadre de sa mission individuelle d</w:t>
            </w:r>
            <w:r w:rsidR="00FF44C4" w:rsidRPr="00943397">
              <w:rPr>
                <w:rFonts w:cs="Arial"/>
                <w:sz w:val="20"/>
                <w:szCs w:val="20"/>
                <w:lang w:val="fr-FR"/>
              </w:rPr>
              <w:t xml:space="preserve">e </w:t>
            </w:r>
            <w:r w:rsidR="003F650E" w:rsidRPr="00943397">
              <w:rPr>
                <w:rFonts w:cs="Arial"/>
                <w:sz w:val="20"/>
                <w:szCs w:val="20"/>
                <w:lang w:val="fr-FR"/>
              </w:rPr>
              <w:t>formateur</w:t>
            </w:r>
            <w:r w:rsidRPr="00943397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265B6AA" w14:textId="77777777" w:rsidR="00E33AD0" w:rsidRPr="00943397" w:rsidRDefault="003011BD" w:rsidP="003011BD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fr-FR"/>
              </w:rPr>
            </w:pPr>
            <w:r w:rsidRPr="00943397">
              <w:rPr>
                <w:rFonts w:cs="Arial"/>
                <w:sz w:val="20"/>
                <w:szCs w:val="20"/>
                <w:lang w:val="fr-FR"/>
              </w:rPr>
              <w:t>Toute activité influençant la qualité de la formation sans que des règles spécifiques n'aient été convenues au sujet des garanties de qualité.</w:t>
            </w:r>
          </w:p>
          <w:p w14:paraId="31BFAB79" w14:textId="2E00DA62" w:rsidR="00F10697" w:rsidRPr="00943397" w:rsidRDefault="00F10697" w:rsidP="00F10697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F10697" w:rsidRPr="00057E7B" w14:paraId="085FFCA3" w14:textId="77777777" w:rsidTr="00F10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</w:tcPr>
          <w:p w14:paraId="69DD4DD5" w14:textId="77777777" w:rsidR="00F10697" w:rsidRPr="005665D9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69FFDA9D" w14:textId="77777777" w:rsidR="00F10697" w:rsidRPr="005665D9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41" w:type="dxa"/>
          </w:tcPr>
          <w:p w14:paraId="1772AB01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25170368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  <w:r w:rsidRPr="00943397">
              <w:rPr>
                <w:sz w:val="20"/>
                <w:szCs w:val="20"/>
                <w:lang w:val="fr-FR"/>
              </w:rPr>
              <w:t>Diplôme, brevet, certificat, …</w:t>
            </w:r>
          </w:p>
          <w:p w14:paraId="7EEA6F8A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305" w:type="dxa"/>
            <w:gridSpan w:val="3"/>
          </w:tcPr>
          <w:p w14:paraId="02C5FB45" w14:textId="77777777" w:rsidR="00F10697" w:rsidRPr="00943397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79EC10ED" w14:textId="77777777" w:rsidR="00F10697" w:rsidRDefault="00057E7B" w:rsidP="005665D9">
            <w:pPr>
              <w:rPr>
                <w:sz w:val="20"/>
                <w:szCs w:val="20"/>
                <w:lang w:val="fr-FR"/>
              </w:rPr>
            </w:pPr>
            <w:r w:rsidRPr="00057E7B">
              <w:rPr>
                <w:sz w:val="20"/>
                <w:szCs w:val="20"/>
                <w:lang w:val="fr-FR"/>
              </w:rPr>
              <w:t xml:space="preserve">Obtention et maintien du certificat FOROP-1 selon l’AM du 5 avril 2019 relatif à la formation et au certificat FOROP-1 et FOROP-2 pour les membres des services publics de secours </w:t>
            </w:r>
          </w:p>
          <w:p w14:paraId="7B3055FE" w14:textId="4955C179" w:rsidR="00057E7B" w:rsidRPr="00943397" w:rsidRDefault="00057E7B" w:rsidP="005665D9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49178195" w14:textId="77777777" w:rsidR="00D00667" w:rsidRDefault="00D00667">
      <w:pPr>
        <w:rPr>
          <w:lang w:val="fr-FR"/>
        </w:rPr>
      </w:pPr>
    </w:p>
    <w:p w14:paraId="214C0D6A" w14:textId="77777777" w:rsidR="00F10697" w:rsidRDefault="00F10697">
      <w:pPr>
        <w:rPr>
          <w:lang w:val="fr-FR"/>
        </w:rPr>
      </w:pPr>
    </w:p>
    <w:p w14:paraId="33E75E5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4E1B24DE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2623CC2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DC1855E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426250A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667E2D3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A758B9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A79495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9FF89DC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B58B568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5534339E" w14:textId="77777777" w:rsidR="00F10697" w:rsidRPr="007335DC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4EAD1043" w14:textId="77777777" w:rsidR="00F10697" w:rsidRPr="0000393B" w:rsidRDefault="00F10697" w:rsidP="00F10697">
      <w:pPr>
        <w:rPr>
          <w:lang w:val="fr-FR"/>
        </w:rPr>
      </w:pPr>
    </w:p>
    <w:p w14:paraId="7DAB68FB" w14:textId="77777777" w:rsidR="00F10697" w:rsidRPr="005D4B65" w:rsidRDefault="00F10697">
      <w:pPr>
        <w:rPr>
          <w:lang w:val="fr-FR"/>
        </w:rPr>
      </w:pPr>
    </w:p>
    <w:sectPr w:rsidR="00F10697" w:rsidRPr="005D4B65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27B3" w14:textId="77777777" w:rsidR="006D686C" w:rsidRDefault="006D686C" w:rsidP="008F4853">
      <w:r>
        <w:separator/>
      </w:r>
    </w:p>
  </w:endnote>
  <w:endnote w:type="continuationSeparator" w:id="0">
    <w:p w14:paraId="4B0BC9BF" w14:textId="77777777" w:rsidR="006D686C" w:rsidRDefault="006D686C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375C" w14:textId="77777777" w:rsidR="006D686C" w:rsidRDefault="006D686C" w:rsidP="008F4853">
      <w:r>
        <w:separator/>
      </w:r>
    </w:p>
  </w:footnote>
  <w:footnote w:type="continuationSeparator" w:id="0">
    <w:p w14:paraId="0F2D6FA7" w14:textId="77777777" w:rsidR="006D686C" w:rsidRDefault="006D686C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1"/>
    <w:rsid w:val="000021EE"/>
    <w:rsid w:val="00023EC5"/>
    <w:rsid w:val="00057E7B"/>
    <w:rsid w:val="0009645F"/>
    <w:rsid w:val="000A17F3"/>
    <w:rsid w:val="001056C5"/>
    <w:rsid w:val="00120775"/>
    <w:rsid w:val="001506C5"/>
    <w:rsid w:val="0019545C"/>
    <w:rsid w:val="001F4078"/>
    <w:rsid w:val="0025238A"/>
    <w:rsid w:val="00257105"/>
    <w:rsid w:val="002778AB"/>
    <w:rsid w:val="002A1481"/>
    <w:rsid w:val="002A4B21"/>
    <w:rsid w:val="002B0B2F"/>
    <w:rsid w:val="002B7145"/>
    <w:rsid w:val="002F788C"/>
    <w:rsid w:val="003011BD"/>
    <w:rsid w:val="003042AE"/>
    <w:rsid w:val="00305D72"/>
    <w:rsid w:val="0030732F"/>
    <w:rsid w:val="003153B4"/>
    <w:rsid w:val="00315CAC"/>
    <w:rsid w:val="00322778"/>
    <w:rsid w:val="003A1EF8"/>
    <w:rsid w:val="003F21A2"/>
    <w:rsid w:val="003F650E"/>
    <w:rsid w:val="0044093E"/>
    <w:rsid w:val="004459BF"/>
    <w:rsid w:val="00480558"/>
    <w:rsid w:val="004F695A"/>
    <w:rsid w:val="00536581"/>
    <w:rsid w:val="005412B9"/>
    <w:rsid w:val="00590E17"/>
    <w:rsid w:val="00592810"/>
    <w:rsid w:val="005A7263"/>
    <w:rsid w:val="005C1BA8"/>
    <w:rsid w:val="005C2109"/>
    <w:rsid w:val="005D4B65"/>
    <w:rsid w:val="005E0357"/>
    <w:rsid w:val="00625DDB"/>
    <w:rsid w:val="006853D8"/>
    <w:rsid w:val="00694D86"/>
    <w:rsid w:val="006B5689"/>
    <w:rsid w:val="006D686C"/>
    <w:rsid w:val="006F4325"/>
    <w:rsid w:val="007212D0"/>
    <w:rsid w:val="00760F5B"/>
    <w:rsid w:val="0077363E"/>
    <w:rsid w:val="00791761"/>
    <w:rsid w:val="007B11A0"/>
    <w:rsid w:val="007D71A5"/>
    <w:rsid w:val="00803600"/>
    <w:rsid w:val="00807C65"/>
    <w:rsid w:val="00864248"/>
    <w:rsid w:val="00897066"/>
    <w:rsid w:val="008A2D8C"/>
    <w:rsid w:val="008F4853"/>
    <w:rsid w:val="0090128A"/>
    <w:rsid w:val="00933124"/>
    <w:rsid w:val="00943397"/>
    <w:rsid w:val="009A0481"/>
    <w:rsid w:val="00A42D88"/>
    <w:rsid w:val="00A73B74"/>
    <w:rsid w:val="00A92634"/>
    <w:rsid w:val="00AA3044"/>
    <w:rsid w:val="00AB618B"/>
    <w:rsid w:val="00AC13D0"/>
    <w:rsid w:val="00AF3B9F"/>
    <w:rsid w:val="00B00218"/>
    <w:rsid w:val="00B42EF4"/>
    <w:rsid w:val="00B43BEC"/>
    <w:rsid w:val="00B80AB6"/>
    <w:rsid w:val="00C1200D"/>
    <w:rsid w:val="00C20776"/>
    <w:rsid w:val="00C225B4"/>
    <w:rsid w:val="00C50B21"/>
    <w:rsid w:val="00C74046"/>
    <w:rsid w:val="00C906C3"/>
    <w:rsid w:val="00CB1451"/>
    <w:rsid w:val="00D00667"/>
    <w:rsid w:val="00D03E55"/>
    <w:rsid w:val="00D12987"/>
    <w:rsid w:val="00D3579C"/>
    <w:rsid w:val="00DB2121"/>
    <w:rsid w:val="00DD7CBC"/>
    <w:rsid w:val="00E135AE"/>
    <w:rsid w:val="00E3232B"/>
    <w:rsid w:val="00E33AD0"/>
    <w:rsid w:val="00E375DE"/>
    <w:rsid w:val="00E471BE"/>
    <w:rsid w:val="00E6149C"/>
    <w:rsid w:val="00E631FE"/>
    <w:rsid w:val="00ED13A7"/>
    <w:rsid w:val="00EF459E"/>
    <w:rsid w:val="00F10697"/>
    <w:rsid w:val="00F3261D"/>
    <w:rsid w:val="00FD121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4887F3"/>
  <w14:defaultImageDpi w14:val="300"/>
  <w15:docId w15:val="{4D85D722-1D73-4EB6-B99D-1C8112F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7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77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77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7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27E81-3C1F-42B6-8F95-AA1B4BF23AE1}"/>
</file>

<file path=customXml/itemProps2.xml><?xml version="1.0" encoding="utf-8"?>
<ds:datastoreItem xmlns:ds="http://schemas.openxmlformats.org/officeDocument/2006/customXml" ds:itemID="{AB56A836-4882-48BC-B80A-6B9D691B4EAA}"/>
</file>

<file path=customXml/itemProps3.xml><?xml version="1.0" encoding="utf-8"?>
<ds:datastoreItem xmlns:ds="http://schemas.openxmlformats.org/officeDocument/2006/customXml" ds:itemID="{194C1AD7-D8B8-4F0B-AC3E-E66DBFAFD5F1}"/>
</file>

<file path=customXml/itemProps4.xml><?xml version="1.0" encoding="utf-8"?>
<ds:datastoreItem xmlns:ds="http://schemas.openxmlformats.org/officeDocument/2006/customXml" ds:itemID="{1AF0546D-7529-47C9-9328-B6AADFE77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Brisaert Ivo</cp:lastModifiedBy>
  <cp:revision>2</cp:revision>
  <cp:lastPrinted>2014-06-03T08:34:00Z</cp:lastPrinted>
  <dcterms:created xsi:type="dcterms:W3CDTF">2021-01-22T09:15:00Z</dcterms:created>
  <dcterms:modified xsi:type="dcterms:W3CDTF">2021-01-22T09:15:00Z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